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F3" w:rsidRDefault="007257F3" w:rsidP="00B561EA">
      <w:pPr>
        <w:pStyle w:val="Titel"/>
        <w:jc w:val="both"/>
        <w:rPr>
          <w:noProof/>
          <w:sz w:val="20"/>
        </w:rPr>
      </w:pPr>
    </w:p>
    <w:p w:rsidR="004B094F" w:rsidRPr="0085784C" w:rsidRDefault="004B094F" w:rsidP="00B561EA">
      <w:pPr>
        <w:pStyle w:val="Titel"/>
        <w:jc w:val="both"/>
        <w:rPr>
          <w:noProof/>
          <w:sz w:val="20"/>
        </w:rPr>
      </w:pPr>
    </w:p>
    <w:p w:rsidR="004B094F" w:rsidRPr="00ED2C62" w:rsidRDefault="004B094F" w:rsidP="004B094F">
      <w:pPr>
        <w:rPr>
          <w:rFonts w:ascii="Arial" w:hAnsi="Arial" w:cs="Arial"/>
          <w:b/>
          <w:bCs/>
          <w:sz w:val="28"/>
          <w:szCs w:val="28"/>
        </w:rPr>
      </w:pPr>
      <w:r w:rsidRPr="00ED2C62">
        <w:rPr>
          <w:rFonts w:ascii="Arial" w:hAnsi="Arial" w:cs="Arial"/>
          <w:b/>
          <w:bCs/>
          <w:sz w:val="28"/>
          <w:szCs w:val="28"/>
        </w:rPr>
        <w:t>Klimaschutzziele: Bauwirtschaft zeigt der Bundesregierung die gelbe Karte</w:t>
      </w:r>
    </w:p>
    <w:p w:rsidR="004B094F" w:rsidRDefault="004B094F" w:rsidP="004B094F">
      <w:pPr>
        <w:jc w:val="both"/>
        <w:rPr>
          <w:rFonts w:ascii="Arial" w:hAnsi="Arial" w:cs="Arial"/>
          <w:bCs/>
          <w:sz w:val="18"/>
        </w:rPr>
      </w:pPr>
      <w:r w:rsidRPr="004B094F">
        <w:rPr>
          <w:rFonts w:ascii="Arial" w:hAnsi="Arial" w:cs="Arial"/>
          <w:bCs/>
          <w:sz w:val="18"/>
        </w:rPr>
        <w:t>Zu Beginn der Bundestagsdebatte zum Bundeshalt 2012 zeigten die IG BAU und der Deutsche Mieterbund gemeinsam mit der Bau- und Immobilienwirtschaft der Bundesregierung für ihre Fördermaßnahmen zur energetischen Gebäudemodernisierung die „gelbe Karte“.</w:t>
      </w:r>
    </w:p>
    <w:p w:rsidR="0085784C" w:rsidRDefault="004B094F" w:rsidP="00B561EA">
      <w:pPr>
        <w:pBdr>
          <w:top w:val="single" w:sz="4" w:space="1" w:color="auto"/>
        </w:pBdr>
        <w:spacing w:line="360" w:lineRule="auto"/>
        <w:ind w:right="1692"/>
        <w:jc w:val="both"/>
        <w:rPr>
          <w:rFonts w:ascii="Arial" w:hAnsi="Arial"/>
          <w:sz w:val="22"/>
        </w:rPr>
      </w:pPr>
      <w:r w:rsidRPr="00115CBB">
        <w:rPr>
          <w:rFonts w:cs="Arial"/>
          <w:noProof/>
          <w:color w:val="000000"/>
          <w:sz w:val="28"/>
          <w:szCs w:val="28"/>
        </w:rPr>
        <w:pict>
          <v:shapetype id="_x0000_t202" coordsize="21600,21600" o:spt="202" path="m,l,21600r21600,l21600,xe">
            <v:stroke joinstyle="miter"/>
            <v:path gradientshapeok="t" o:connecttype="rect"/>
          </v:shapetype>
          <v:shape id="_x0000_s2054" type="#_x0000_t202" style="position:absolute;left:0;text-align:left;margin-left:449.65pt;margin-top:1.55pt;width:73.5pt;height:622.5pt;z-index:251658240" stroked="f">
            <v:textbox style="layout-flow:vertical;mso-layout-flow-alt:bottom-to-top;mso-next-textbox:#_x0000_s2054">
              <w:txbxContent>
                <w:p w:rsidR="008B0C8A" w:rsidRDefault="00E047EC" w:rsidP="00710DAE">
                  <w:pPr>
                    <w:pStyle w:val="berschrift4"/>
                    <w:rPr>
                      <w:b/>
                      <w:color w:val="C0C0C0"/>
                      <w:sz w:val="96"/>
                      <w:lang w:val="it-IT"/>
                    </w:rPr>
                  </w:pPr>
                  <w:proofErr w:type="spellStart"/>
                  <w:r>
                    <w:rPr>
                      <w:b/>
                      <w:color w:val="C0C0C0"/>
                      <w:sz w:val="96"/>
                      <w:lang w:val="it-IT"/>
                    </w:rPr>
                    <w:t>Presseinformation</w:t>
                  </w:r>
                  <w:proofErr w:type="spellEnd"/>
                </w:p>
              </w:txbxContent>
            </v:textbox>
          </v:shape>
        </w:pict>
      </w:r>
    </w:p>
    <w:p w:rsidR="004B094F" w:rsidRDefault="004B094F" w:rsidP="004B094F">
      <w:pPr>
        <w:rPr>
          <w:rFonts w:ascii="Arial" w:hAnsi="Arial" w:cs="Arial"/>
          <w:sz w:val="18"/>
          <w:szCs w:val="18"/>
        </w:rPr>
      </w:pPr>
      <w:r w:rsidRPr="00ED2C62">
        <w:rPr>
          <w:rFonts w:ascii="Arial" w:hAnsi="Arial" w:cs="Arial"/>
          <w:sz w:val="18"/>
          <w:szCs w:val="18"/>
        </w:rPr>
        <w:t>Die Energiewende drohe durch das „Diktat der Haushälter der schwarz-gelben Regierungskoalition“ zu scheitern – Umwelt und Wohnungsbau blieben auf der Strecke, so die scharfe Rüge der Kampagne „Impulse für den Wohnungsbau“. Im Rahmen ihrer Herbst-Pressekonferenz, die zeitgleich mit dem Auftakt der Haushaltsdebatte am 6. September in Berlin stattfand, erklärte das hinter der Kampagne stehende Bündnis aus Branchenverbänden, die Bundesregierung betreibe bei der energetischen Gebäudemodernisierung ein „Doppelspiel. Sie proklamiere die Energiewende, bremse aber gleichzeitig die Branche aus, in der die meiste Energie gespart werden könne. Rund 40 Prozent des bundesweiten Energieverbrauchs gingen auf das Konto von Gebäuden.</w:t>
      </w:r>
      <w:r w:rsidRPr="00ED2C62">
        <w:rPr>
          <w:rFonts w:ascii="Arial" w:hAnsi="Arial" w:cs="Arial"/>
          <w:sz w:val="18"/>
          <w:szCs w:val="18"/>
        </w:rPr>
        <w:br/>
      </w:r>
      <w:r w:rsidRPr="00ED2C62">
        <w:rPr>
          <w:rFonts w:ascii="Arial" w:hAnsi="Arial" w:cs="Arial"/>
          <w:sz w:val="18"/>
          <w:szCs w:val="18"/>
        </w:rPr>
        <w:br/>
      </w:r>
      <w:r w:rsidRPr="00ED2C62">
        <w:rPr>
          <w:rFonts w:ascii="Arial" w:hAnsi="Arial" w:cs="Arial"/>
          <w:b/>
          <w:bCs/>
          <w:sz w:val="18"/>
        </w:rPr>
        <w:t>Mehr Anreize schaffen</w:t>
      </w:r>
      <w:r w:rsidRPr="00ED2C62">
        <w:rPr>
          <w:rFonts w:ascii="Arial" w:hAnsi="Arial" w:cs="Arial"/>
          <w:sz w:val="18"/>
          <w:szCs w:val="18"/>
        </w:rPr>
        <w:br/>
      </w:r>
      <w:r w:rsidRPr="00ED2C62">
        <w:rPr>
          <w:rFonts w:ascii="Arial" w:hAnsi="Arial" w:cs="Arial"/>
          <w:sz w:val="18"/>
          <w:szCs w:val="18"/>
        </w:rPr>
        <w:br/>
        <w:t>Um diese Ressourcen für den Klimaschutz zu nutzen, müsse der Bund dringend mehr Anreize für die CO</w:t>
      </w:r>
      <w:r w:rsidRPr="00ED2C62">
        <w:rPr>
          <w:rFonts w:ascii="Arial" w:hAnsi="Arial" w:cs="Arial"/>
          <w:sz w:val="18"/>
          <w:szCs w:val="18"/>
          <w:vertAlign w:val="subscript"/>
        </w:rPr>
        <w:t>2</w:t>
      </w:r>
      <w:r w:rsidRPr="00ED2C62">
        <w:rPr>
          <w:rFonts w:ascii="Arial" w:hAnsi="Arial" w:cs="Arial"/>
          <w:sz w:val="18"/>
          <w:szCs w:val="18"/>
        </w:rPr>
        <w:t xml:space="preserve">-Gebäudesanierung schaffen. Dazu gehöre die steuerliche Förderung für die energetische Sanierung von Wohngebäuden, die vor der Sommerpause im Bundesrat gescheitert ist. Um die Blockade zu beseitigen, fordert das Bündnis die Bundesregierung auf, rasch den Vermittlungsausschuss anzurufen. Zudem müsse sie die </w:t>
      </w:r>
      <w:proofErr w:type="spellStart"/>
      <w:r w:rsidRPr="00ED2C62">
        <w:rPr>
          <w:rFonts w:ascii="Arial" w:hAnsi="Arial" w:cs="Arial"/>
          <w:sz w:val="18"/>
          <w:szCs w:val="18"/>
        </w:rPr>
        <w:t>KfW-Förderung</w:t>
      </w:r>
      <w:proofErr w:type="spellEnd"/>
      <w:r w:rsidRPr="00ED2C62">
        <w:rPr>
          <w:rFonts w:ascii="Arial" w:hAnsi="Arial" w:cs="Arial"/>
          <w:sz w:val="18"/>
          <w:szCs w:val="18"/>
        </w:rPr>
        <w:t xml:space="preserve"> für die energetische Gebäudesanierung erheblich aufstocken. Im Haushaltsplan 2012 seien dafür lediglich 1,5 Milliarden Euro vorgesehen.</w:t>
      </w:r>
      <w:r w:rsidRPr="00ED2C62">
        <w:rPr>
          <w:rFonts w:ascii="Arial" w:hAnsi="Arial" w:cs="Arial"/>
          <w:sz w:val="18"/>
          <w:szCs w:val="18"/>
        </w:rPr>
        <w:br/>
      </w:r>
      <w:r w:rsidRPr="00ED2C62">
        <w:rPr>
          <w:rFonts w:ascii="Arial" w:hAnsi="Arial" w:cs="Arial"/>
          <w:sz w:val="18"/>
          <w:szCs w:val="18"/>
        </w:rPr>
        <w:br/>
        <w:t>Dringend gebraucht würden im kommenden Jahr allerdings mindestens zwei Milliarden Euro, mittelfristig sogar fünf Milliarden Euro jährlich. „Beim energieeffizienten Wohnungsbau muss die Bundesregierung dringend nachlegen. Andernfalls wird sie ihre eigenen Klimaschutzziele nicht erreichen“, heißt es in einer aktuellen Pressemitteilung des Bündnisses. Diese sähen eine Verdoppelung der jährlichen Sanierungsquote vor – auf zwei Prozent. Das bedeute, dass pro Jahr mehr als 700.000 Wohneinheiten in Sachen energetischer Gebäudesanierung angepackt werden müssten.</w:t>
      </w:r>
      <w:r w:rsidRPr="00ED2C62">
        <w:rPr>
          <w:rFonts w:ascii="Arial" w:hAnsi="Arial" w:cs="Arial"/>
          <w:sz w:val="18"/>
          <w:szCs w:val="18"/>
        </w:rPr>
        <w:br/>
      </w:r>
      <w:r w:rsidRPr="00ED2C62">
        <w:rPr>
          <w:rFonts w:ascii="Arial" w:hAnsi="Arial" w:cs="Arial"/>
          <w:sz w:val="18"/>
          <w:szCs w:val="18"/>
        </w:rPr>
        <w:br/>
        <w:t>Bleibe es bei den im Haushaltsentwurf für das kommende Jahr vorgesehenen „Rotstiftförderung“, dann scheitere die Bundesregierung an ihrer selbst gelegten „CO</w:t>
      </w:r>
      <w:r w:rsidRPr="00ED2C62">
        <w:rPr>
          <w:rFonts w:ascii="Arial" w:hAnsi="Arial" w:cs="Arial"/>
          <w:sz w:val="18"/>
          <w:szCs w:val="18"/>
          <w:vertAlign w:val="subscript"/>
        </w:rPr>
        <w:t>2</w:t>
      </w:r>
      <w:r w:rsidRPr="00ED2C62">
        <w:rPr>
          <w:rFonts w:ascii="Arial" w:hAnsi="Arial" w:cs="Arial"/>
          <w:sz w:val="18"/>
          <w:szCs w:val="18"/>
        </w:rPr>
        <w:t>-Spar-Messlatte“, so die Branchen-Kampagne.</w:t>
      </w:r>
      <w:r w:rsidRPr="00ED2C62">
        <w:rPr>
          <w:rFonts w:ascii="Arial" w:hAnsi="Arial" w:cs="Arial"/>
          <w:sz w:val="18"/>
          <w:szCs w:val="18"/>
        </w:rPr>
        <w:br/>
      </w:r>
      <w:r w:rsidRPr="00ED2C62">
        <w:rPr>
          <w:rFonts w:ascii="Arial" w:hAnsi="Arial" w:cs="Arial"/>
          <w:sz w:val="18"/>
          <w:szCs w:val="18"/>
        </w:rPr>
        <w:br/>
      </w:r>
      <w:r w:rsidRPr="00ED2C62">
        <w:rPr>
          <w:rFonts w:ascii="Arial" w:hAnsi="Arial" w:cs="Arial"/>
          <w:b/>
          <w:bCs/>
          <w:sz w:val="18"/>
        </w:rPr>
        <w:t>Baubranche aus den Augen verloren</w:t>
      </w:r>
      <w:r w:rsidRPr="00ED2C62">
        <w:rPr>
          <w:rFonts w:ascii="Arial" w:hAnsi="Arial" w:cs="Arial"/>
          <w:sz w:val="18"/>
          <w:szCs w:val="18"/>
        </w:rPr>
        <w:br/>
      </w:r>
      <w:r w:rsidRPr="00ED2C62">
        <w:rPr>
          <w:rFonts w:ascii="Arial" w:hAnsi="Arial" w:cs="Arial"/>
          <w:sz w:val="18"/>
          <w:szCs w:val="18"/>
        </w:rPr>
        <w:br/>
        <w:t xml:space="preserve">Die Bundesregierung habe die Baubranche als Motor der Binnenkonjunktur aus den Augen verloren. Sie verkenne völlig, dass durch jeden Förder-Euro allein 1,70 Euro an Steuern Beiträgen für die Sozialversicherungen zurückfließen. Unterm Strich profitiere der Staat, denn eine Milliarde an Haushaltsmitteln </w:t>
      </w:r>
      <w:proofErr w:type="spellStart"/>
      <w:r w:rsidRPr="00ED2C62">
        <w:rPr>
          <w:rFonts w:ascii="Arial" w:hAnsi="Arial" w:cs="Arial"/>
          <w:sz w:val="18"/>
          <w:szCs w:val="18"/>
        </w:rPr>
        <w:t>stößen</w:t>
      </w:r>
      <w:proofErr w:type="spellEnd"/>
      <w:r w:rsidRPr="00ED2C62">
        <w:rPr>
          <w:rFonts w:ascii="Arial" w:hAnsi="Arial" w:cs="Arial"/>
          <w:sz w:val="18"/>
          <w:szCs w:val="18"/>
        </w:rPr>
        <w:t xml:space="preserve"> Gesamtinvestitionen von zwölf Milliarden Euro an. Damit ließen sich jährlich rund 340.000 Arbeitsplätze im Handwerk und im Mittelstand sichern bzw. neu schaffen.   </w:t>
      </w:r>
      <w:r w:rsidRPr="00ED2C62">
        <w:rPr>
          <w:rFonts w:ascii="Arial" w:hAnsi="Arial" w:cs="Arial"/>
          <w:sz w:val="18"/>
          <w:szCs w:val="18"/>
        </w:rPr>
        <w:br/>
      </w:r>
      <w:r w:rsidRPr="00ED2C62">
        <w:rPr>
          <w:rFonts w:ascii="Arial" w:hAnsi="Arial" w:cs="Arial"/>
          <w:sz w:val="18"/>
          <w:szCs w:val="18"/>
        </w:rPr>
        <w:br/>
        <w:t xml:space="preserve">Dr. Hans-Hartwig </w:t>
      </w:r>
      <w:proofErr w:type="spellStart"/>
      <w:r w:rsidRPr="00ED2C62">
        <w:rPr>
          <w:rFonts w:ascii="Arial" w:hAnsi="Arial" w:cs="Arial"/>
          <w:sz w:val="18"/>
          <w:szCs w:val="18"/>
        </w:rPr>
        <w:t>Loewenstein</w:t>
      </w:r>
      <w:proofErr w:type="spellEnd"/>
      <w:r w:rsidRPr="00ED2C62">
        <w:rPr>
          <w:rFonts w:ascii="Arial" w:hAnsi="Arial" w:cs="Arial"/>
          <w:sz w:val="18"/>
          <w:szCs w:val="18"/>
        </w:rPr>
        <w:t>, Präsident des Zentralverband Deutsches Baugewerbe (ZDB) erklärt: „Mit dem derzeitigen Stand der Gesetzesbeschlüsse und Etatansätze werden weder die politischen Ziele zur Energie- und CO</w:t>
      </w:r>
      <w:r w:rsidRPr="00ED2C62">
        <w:rPr>
          <w:rFonts w:ascii="Arial" w:hAnsi="Arial" w:cs="Arial"/>
          <w:sz w:val="18"/>
          <w:szCs w:val="18"/>
          <w:vertAlign w:val="subscript"/>
        </w:rPr>
        <w:t>2</w:t>
      </w:r>
      <w:r w:rsidRPr="00ED2C62">
        <w:rPr>
          <w:rFonts w:ascii="Arial" w:hAnsi="Arial" w:cs="Arial"/>
          <w:sz w:val="18"/>
          <w:szCs w:val="18"/>
        </w:rPr>
        <w:t>-Einsparung noch die Anpassung des Wohnungsbestandes an die demografische Entwicklung erreicht! Insbesondere die Ablehnung der steuerlichen Förderung der energetischen Gebäudesanierung durch den Bundesrat hat Unverständnis bei Investoren und Unternehmern ausgelöst.“</w:t>
      </w:r>
      <w:r w:rsidRPr="00ED2C62">
        <w:rPr>
          <w:rFonts w:ascii="Arial" w:hAnsi="Arial" w:cs="Arial"/>
          <w:sz w:val="18"/>
          <w:szCs w:val="18"/>
        </w:rPr>
        <w:br/>
      </w:r>
      <w:r w:rsidRPr="00ED2C62">
        <w:rPr>
          <w:rFonts w:ascii="Arial" w:hAnsi="Arial" w:cs="Arial"/>
          <w:sz w:val="18"/>
          <w:szCs w:val="18"/>
        </w:rPr>
        <w:br/>
      </w:r>
      <w:r w:rsidRPr="00ED2C62">
        <w:rPr>
          <w:rFonts w:ascii="Arial" w:hAnsi="Arial" w:cs="Arial"/>
          <w:b/>
          <w:bCs/>
          <w:sz w:val="18"/>
        </w:rPr>
        <w:t>Deutlicher Rückgang der Förderanträge</w:t>
      </w:r>
      <w:r w:rsidRPr="00ED2C62">
        <w:rPr>
          <w:rFonts w:ascii="Arial" w:hAnsi="Arial" w:cs="Arial"/>
          <w:sz w:val="18"/>
          <w:szCs w:val="18"/>
        </w:rPr>
        <w:br/>
      </w:r>
      <w:r w:rsidRPr="00ED2C62">
        <w:rPr>
          <w:rFonts w:ascii="Arial" w:hAnsi="Arial" w:cs="Arial"/>
          <w:sz w:val="18"/>
          <w:szCs w:val="18"/>
        </w:rPr>
        <w:br/>
        <w:t>Derzeit lägen der Kreditanstalt für Wiederaufbau (</w:t>
      </w:r>
      <w:proofErr w:type="spellStart"/>
      <w:r w:rsidRPr="00ED2C62">
        <w:rPr>
          <w:rFonts w:ascii="Arial" w:hAnsi="Arial" w:cs="Arial"/>
          <w:sz w:val="18"/>
          <w:szCs w:val="18"/>
        </w:rPr>
        <w:t>KfW</w:t>
      </w:r>
      <w:proofErr w:type="spellEnd"/>
      <w:r w:rsidRPr="00ED2C62">
        <w:rPr>
          <w:rFonts w:ascii="Arial" w:hAnsi="Arial" w:cs="Arial"/>
          <w:sz w:val="18"/>
          <w:szCs w:val="18"/>
        </w:rPr>
        <w:t xml:space="preserve">) 60 Prozent weniger Anträge auf Förderung vor, erklärt das Branchen-Bündnis. Damit sei das Investitionsvolumen im Bereich der energetischen Gebäudesanierung um rund fünf Mrd. Euro gesunken (Juli 2010: 14, 5 Mrd. Euro; Juli 2011: 9,6 Mrd. Euro lt. </w:t>
      </w:r>
      <w:proofErr w:type="spellStart"/>
      <w:r w:rsidRPr="00ED2C62">
        <w:rPr>
          <w:rFonts w:ascii="Arial" w:hAnsi="Arial" w:cs="Arial"/>
          <w:sz w:val="18"/>
          <w:szCs w:val="18"/>
        </w:rPr>
        <w:t>KfW</w:t>
      </w:r>
      <w:proofErr w:type="spellEnd"/>
      <w:r w:rsidRPr="00ED2C62">
        <w:rPr>
          <w:rFonts w:ascii="Arial" w:hAnsi="Arial" w:cs="Arial"/>
          <w:sz w:val="18"/>
          <w:szCs w:val="18"/>
        </w:rPr>
        <w:t>). Die Ursache für diese Zurückhaltung der Haus- und Wohnungsbesitzer liege auf der Hand. Die steuerliche Förderung der energetischen Sanierung war Bestandteil des Gesetzespakets zur Energiewende. Man warte also ab, bis man davon Gebrauch machen könne. Der Schlingerkurs der Bundesregierung verhindere also erneut Investitionen.</w:t>
      </w:r>
      <w:r w:rsidRPr="00ED2C62">
        <w:rPr>
          <w:rFonts w:ascii="Arial" w:hAnsi="Arial" w:cs="Arial"/>
          <w:sz w:val="18"/>
          <w:szCs w:val="18"/>
        </w:rPr>
        <w:br/>
      </w:r>
      <w:r w:rsidRPr="00ED2C62">
        <w:rPr>
          <w:rFonts w:ascii="Arial" w:hAnsi="Arial" w:cs="Arial"/>
          <w:sz w:val="18"/>
          <w:szCs w:val="18"/>
        </w:rPr>
        <w:br/>
      </w:r>
      <w:r w:rsidRPr="00ED2C62">
        <w:rPr>
          <w:rFonts w:ascii="Arial" w:hAnsi="Arial" w:cs="Arial"/>
          <w:b/>
          <w:bCs/>
          <w:sz w:val="18"/>
        </w:rPr>
        <w:t>Das Bündnis „Impulse für den Wohnungsbau“</w:t>
      </w:r>
      <w:r w:rsidRPr="00ED2C62">
        <w:rPr>
          <w:rFonts w:ascii="Arial" w:hAnsi="Arial" w:cs="Arial"/>
          <w:sz w:val="18"/>
          <w:szCs w:val="18"/>
        </w:rPr>
        <w:br/>
      </w:r>
      <w:r w:rsidRPr="00ED2C62">
        <w:rPr>
          <w:rFonts w:ascii="Arial" w:hAnsi="Arial" w:cs="Arial"/>
          <w:sz w:val="18"/>
          <w:szCs w:val="18"/>
        </w:rPr>
        <w:br/>
        <w:t xml:space="preserve">In dem Bündnis „Impulse für den Wohnungsbau“ haben sich führende Organisationen und Verbände der Bau- und Immobilienbranche zusammengeschlossen: die Industriegewerkschaft </w:t>
      </w:r>
      <w:proofErr w:type="spellStart"/>
      <w:r w:rsidRPr="00ED2C62">
        <w:rPr>
          <w:rFonts w:ascii="Arial" w:hAnsi="Arial" w:cs="Arial"/>
          <w:sz w:val="18"/>
          <w:szCs w:val="18"/>
        </w:rPr>
        <w:t>Bauen-Agrar-Umwelt</w:t>
      </w:r>
      <w:proofErr w:type="spellEnd"/>
      <w:r w:rsidRPr="00ED2C62">
        <w:rPr>
          <w:rFonts w:ascii="Arial" w:hAnsi="Arial" w:cs="Arial"/>
          <w:sz w:val="18"/>
          <w:szCs w:val="18"/>
        </w:rPr>
        <w:t xml:space="preserve"> (IG BAU) und der Zentralverband Deutsches Baugewerbe (ZDB), der Deutsche Mieterbund (DMB) und der Bundesverband Freier Immobilien- und Wohnungsunternehmen (BFW), der Bundesverband Deutscher </w:t>
      </w:r>
      <w:proofErr w:type="spellStart"/>
      <w:r w:rsidRPr="00ED2C62">
        <w:rPr>
          <w:rFonts w:ascii="Arial" w:hAnsi="Arial" w:cs="Arial"/>
          <w:sz w:val="18"/>
          <w:szCs w:val="18"/>
        </w:rPr>
        <w:t>Baustoff-Fachhandel</w:t>
      </w:r>
      <w:proofErr w:type="spellEnd"/>
      <w:r w:rsidRPr="00ED2C62">
        <w:rPr>
          <w:rFonts w:ascii="Arial" w:hAnsi="Arial" w:cs="Arial"/>
          <w:sz w:val="18"/>
          <w:szCs w:val="18"/>
        </w:rPr>
        <w:t xml:space="preserve"> (BDB) und die Deutsche Gesellschaft für Mauerwerks- und Wohnungsbau (</w:t>
      </w:r>
      <w:proofErr w:type="spellStart"/>
      <w:r w:rsidRPr="00ED2C62">
        <w:rPr>
          <w:rFonts w:ascii="Arial" w:hAnsi="Arial" w:cs="Arial"/>
          <w:sz w:val="18"/>
          <w:szCs w:val="18"/>
        </w:rPr>
        <w:t>DGfM</w:t>
      </w:r>
      <w:proofErr w:type="spellEnd"/>
      <w:r w:rsidRPr="00ED2C62">
        <w:rPr>
          <w:rFonts w:ascii="Arial" w:hAnsi="Arial" w:cs="Arial"/>
          <w:sz w:val="18"/>
          <w:szCs w:val="18"/>
        </w:rPr>
        <w:t>).</w:t>
      </w:r>
    </w:p>
    <w:p w:rsidR="008B0C8A" w:rsidRDefault="008B0C8A" w:rsidP="004B094F">
      <w:pPr>
        <w:ind w:right="518"/>
        <w:jc w:val="both"/>
        <w:rPr>
          <w:rFonts w:ascii="Arial" w:hAnsi="Arial" w:cs="Arial"/>
          <w:color w:val="000000"/>
        </w:rPr>
      </w:pPr>
    </w:p>
    <w:sectPr w:rsidR="008B0C8A" w:rsidSect="004B094F">
      <w:headerReference w:type="default" r:id="rId8"/>
      <w:footerReference w:type="default" r:id="rId9"/>
      <w:pgSz w:w="11906" w:h="16838"/>
      <w:pgMar w:top="1417" w:right="1466" w:bottom="719" w:left="1417" w:header="284" w:footer="2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C8A" w:rsidRDefault="008B0C8A">
      <w:r>
        <w:separator/>
      </w:r>
    </w:p>
  </w:endnote>
  <w:endnote w:type="continuationSeparator" w:id="0">
    <w:p w:rsidR="008B0C8A" w:rsidRDefault="008B0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EC" w:rsidRDefault="00E047EC" w:rsidP="00E047EC">
    <w:pPr>
      <w:pStyle w:val="Fuzeile"/>
      <w:pBdr>
        <w:bottom w:val="single" w:sz="4" w:space="1" w:color="auto"/>
      </w:pBdr>
    </w:pPr>
  </w:p>
  <w:p w:rsidR="008B0C8A" w:rsidRPr="00E047EC" w:rsidRDefault="00E047EC" w:rsidP="00E047EC">
    <w:pPr>
      <w:rPr>
        <w:rFonts w:ascii="Arial" w:hAnsi="Arial" w:cs="Arial"/>
        <w:sz w:val="18"/>
        <w:szCs w:val="18"/>
      </w:rPr>
    </w:pPr>
    <w:r w:rsidRPr="00BD2838">
      <w:rPr>
        <w:rFonts w:ascii="Arial" w:hAnsi="Arial" w:cs="Arial"/>
        <w:sz w:val="18"/>
        <w:szCs w:val="18"/>
      </w:rPr>
      <w:t xml:space="preserve">Ass. </w:t>
    </w:r>
    <w:r>
      <w:rPr>
        <w:rFonts w:ascii="Arial" w:hAnsi="Arial" w:cs="Arial"/>
        <w:sz w:val="18"/>
        <w:szCs w:val="18"/>
      </w:rPr>
      <w:t xml:space="preserve">jur. </w:t>
    </w:r>
    <w:r w:rsidRPr="00BD2838">
      <w:rPr>
        <w:rFonts w:ascii="Arial" w:hAnsi="Arial" w:cs="Arial"/>
        <w:sz w:val="18"/>
        <w:szCs w:val="18"/>
      </w:rPr>
      <w:t xml:space="preserve">Dirk Wühr, </w:t>
    </w:r>
    <w:proofErr w:type="spellStart"/>
    <w:r>
      <w:rPr>
        <w:rFonts w:ascii="Arial" w:hAnsi="Arial" w:cs="Arial"/>
        <w:sz w:val="18"/>
        <w:szCs w:val="18"/>
      </w:rPr>
      <w:t>LBB-Landesverband</w:t>
    </w:r>
    <w:proofErr w:type="spellEnd"/>
    <w:r>
      <w:rPr>
        <w:rFonts w:ascii="Arial" w:hAnsi="Arial" w:cs="Arial"/>
        <w:sz w:val="18"/>
        <w:szCs w:val="18"/>
      </w:rPr>
      <w:t xml:space="preserve"> Bayerischer Bauinnungen - Geschäftsstelle Schwaben</w:t>
    </w:r>
    <w:r w:rsidRPr="00BD2838">
      <w:rPr>
        <w:rFonts w:ascii="Arial" w:hAnsi="Arial" w:cs="Arial"/>
        <w:sz w:val="18"/>
        <w:szCs w:val="18"/>
      </w:rPr>
      <w:t xml:space="preserve">, </w:t>
    </w:r>
    <w:proofErr w:type="spellStart"/>
    <w:r w:rsidRPr="00BD2838">
      <w:rPr>
        <w:rFonts w:ascii="Arial" w:hAnsi="Arial" w:cs="Arial"/>
        <w:sz w:val="18"/>
        <w:szCs w:val="18"/>
      </w:rPr>
      <w:t>Stätzlinger</w:t>
    </w:r>
    <w:proofErr w:type="spellEnd"/>
    <w:r w:rsidRPr="00BD2838">
      <w:rPr>
        <w:rFonts w:ascii="Arial" w:hAnsi="Arial" w:cs="Arial"/>
        <w:sz w:val="18"/>
        <w:szCs w:val="18"/>
      </w:rPr>
      <w:t xml:space="preserve"> Str. 111, 86165 Augsburg, Tel.: 0821/3 46 94-0, Fax: 0821/3 46 94-30, E-Mail: info@</w:t>
    </w:r>
    <w:r>
      <w:rPr>
        <w:rFonts w:ascii="Arial" w:hAnsi="Arial" w:cs="Arial"/>
        <w:sz w:val="18"/>
        <w:szCs w:val="18"/>
      </w:rPr>
      <w:t>lbb-schwaben</w:t>
    </w:r>
    <w:r w:rsidRPr="00BD2838">
      <w:rPr>
        <w:rFonts w:ascii="Arial" w:hAnsi="Arial" w:cs="Arial"/>
        <w:sz w:val="18"/>
        <w:szCs w:val="18"/>
      </w:rPr>
      <w:t>.de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C8A" w:rsidRDefault="008B0C8A">
      <w:r>
        <w:separator/>
      </w:r>
    </w:p>
  </w:footnote>
  <w:footnote w:type="continuationSeparator" w:id="0">
    <w:p w:rsidR="008B0C8A" w:rsidRDefault="008B0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8A" w:rsidRDefault="004B094F" w:rsidP="004B094F">
    <w:pPr>
      <w:pStyle w:val="Kopfzeile"/>
      <w:tabs>
        <w:tab w:val="clear" w:pos="9072"/>
        <w:tab w:val="right" w:pos="9874"/>
        <w:tab w:val="right" w:pos="10200"/>
      </w:tabs>
      <w:ind w:right="-851"/>
    </w:pPr>
    <w:r>
      <w:tab/>
    </w:r>
    <w:r>
      <w:tab/>
    </w:r>
    <w:r w:rsidR="000C65CF">
      <w:rPr>
        <w:noProof/>
      </w:rPr>
      <w:drawing>
        <wp:inline distT="0" distB="0" distL="0" distR="0">
          <wp:extent cx="1891939" cy="752475"/>
          <wp:effectExtent l="0" t="0" r="0" b="0"/>
          <wp:docPr id="2" name="Bild 2" descr="H:\Büro Mayer\2_Büroorganisation\Logos\DBB\DBB_logo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üro Mayer\2_Büroorganisation\Logos\DBB\DBB_logo_4c.eps"/>
                  <pic:cNvPicPr>
                    <a:picLocks noChangeAspect="1" noChangeArrowheads="1"/>
                  </pic:cNvPicPr>
                </pic:nvPicPr>
                <pic:blipFill>
                  <a:blip r:embed="rId1"/>
                  <a:srcRect/>
                  <a:stretch>
                    <a:fillRect/>
                  </a:stretch>
                </pic:blipFill>
                <pic:spPr bwMode="auto">
                  <a:xfrm>
                    <a:off x="0" y="0"/>
                    <a:ext cx="1898684" cy="75515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4178"/>
    <w:multiLevelType w:val="hybridMultilevel"/>
    <w:tmpl w:val="CA0E3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E0F4E59"/>
    <w:multiLevelType w:val="multilevel"/>
    <w:tmpl w:val="C794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C25126"/>
    <w:multiLevelType w:val="hybridMultilevel"/>
    <w:tmpl w:val="BE1A8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94B27E5"/>
    <w:multiLevelType w:val="multilevel"/>
    <w:tmpl w:val="4F54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3F598C"/>
    <w:multiLevelType w:val="hybridMultilevel"/>
    <w:tmpl w:val="CD5E0FEE"/>
    <w:lvl w:ilvl="0" w:tplc="AD76121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45012E8"/>
    <w:multiLevelType w:val="hybridMultilevel"/>
    <w:tmpl w:val="CE1EFA28"/>
    <w:lvl w:ilvl="0" w:tplc="9F06169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CEA2646"/>
    <w:multiLevelType w:val="hybridMultilevel"/>
    <w:tmpl w:val="A5F893B8"/>
    <w:lvl w:ilvl="0" w:tplc="180035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DA23D3A"/>
    <w:multiLevelType w:val="hybridMultilevel"/>
    <w:tmpl w:val="2DE2B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3D451D1"/>
    <w:multiLevelType w:val="hybridMultilevel"/>
    <w:tmpl w:val="9EEA0260"/>
    <w:lvl w:ilvl="0" w:tplc="8716003E">
      <w:start w:val="1"/>
      <w:numFmt w:val="decimal"/>
      <w:lvlText w:val="%1."/>
      <w:lvlJc w:val="left"/>
      <w:pPr>
        <w:ind w:left="720" w:hanging="360"/>
      </w:pPr>
      <w:rPr>
        <w:rFonts w:hint="default"/>
        <w:b/>
        <w:color w:val="44444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8"/>
  </w:num>
  <w:num w:numId="6">
    <w:abstractNumId w:val="0"/>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hdrShapeDefaults>
    <o:shapedefaults v:ext="edit" spidmax="2056"/>
  </w:hdrShapeDefaults>
  <w:footnotePr>
    <w:footnote w:id="-1"/>
    <w:footnote w:id="0"/>
  </w:footnotePr>
  <w:endnotePr>
    <w:endnote w:id="-1"/>
    <w:endnote w:id="0"/>
  </w:endnotePr>
  <w:compat/>
  <w:rsids>
    <w:rsidRoot w:val="0085784C"/>
    <w:rsid w:val="00004EDE"/>
    <w:rsid w:val="00005ACC"/>
    <w:rsid w:val="00006331"/>
    <w:rsid w:val="00010B10"/>
    <w:rsid w:val="00012FD9"/>
    <w:rsid w:val="0001652D"/>
    <w:rsid w:val="0002094D"/>
    <w:rsid w:val="00022F01"/>
    <w:rsid w:val="00031208"/>
    <w:rsid w:val="00043597"/>
    <w:rsid w:val="00050019"/>
    <w:rsid w:val="0005108C"/>
    <w:rsid w:val="00051E96"/>
    <w:rsid w:val="00052D63"/>
    <w:rsid w:val="00053EBC"/>
    <w:rsid w:val="000573F3"/>
    <w:rsid w:val="00070444"/>
    <w:rsid w:val="00071B79"/>
    <w:rsid w:val="00086F07"/>
    <w:rsid w:val="00087B99"/>
    <w:rsid w:val="00091918"/>
    <w:rsid w:val="00091A92"/>
    <w:rsid w:val="000A23DA"/>
    <w:rsid w:val="000A2505"/>
    <w:rsid w:val="000A6426"/>
    <w:rsid w:val="000A77FD"/>
    <w:rsid w:val="000B4A52"/>
    <w:rsid w:val="000C4031"/>
    <w:rsid w:val="000C65CF"/>
    <w:rsid w:val="000D3D62"/>
    <w:rsid w:val="000D7412"/>
    <w:rsid w:val="000E73BF"/>
    <w:rsid w:val="000F09AD"/>
    <w:rsid w:val="000F2B72"/>
    <w:rsid w:val="000F5B72"/>
    <w:rsid w:val="000F5F70"/>
    <w:rsid w:val="00115CBB"/>
    <w:rsid w:val="001213BE"/>
    <w:rsid w:val="00122A53"/>
    <w:rsid w:val="00127944"/>
    <w:rsid w:val="001457A5"/>
    <w:rsid w:val="00157817"/>
    <w:rsid w:val="00163E82"/>
    <w:rsid w:val="00167768"/>
    <w:rsid w:val="00175EF0"/>
    <w:rsid w:val="00177615"/>
    <w:rsid w:val="00180A57"/>
    <w:rsid w:val="00180BAE"/>
    <w:rsid w:val="00182B98"/>
    <w:rsid w:val="00187ED8"/>
    <w:rsid w:val="00190AFC"/>
    <w:rsid w:val="00191A7B"/>
    <w:rsid w:val="00192FBC"/>
    <w:rsid w:val="0019460E"/>
    <w:rsid w:val="00195725"/>
    <w:rsid w:val="00195C36"/>
    <w:rsid w:val="001A2F67"/>
    <w:rsid w:val="001C13B1"/>
    <w:rsid w:val="001C350D"/>
    <w:rsid w:val="001C39DD"/>
    <w:rsid w:val="001C4E72"/>
    <w:rsid w:val="001D313E"/>
    <w:rsid w:val="001E159F"/>
    <w:rsid w:val="001E2395"/>
    <w:rsid w:val="001E2642"/>
    <w:rsid w:val="001F33A1"/>
    <w:rsid w:val="00203F22"/>
    <w:rsid w:val="00203FE8"/>
    <w:rsid w:val="002124B1"/>
    <w:rsid w:val="00213554"/>
    <w:rsid w:val="0021485B"/>
    <w:rsid w:val="00217F2A"/>
    <w:rsid w:val="002233D8"/>
    <w:rsid w:val="00225FDA"/>
    <w:rsid w:val="0025126A"/>
    <w:rsid w:val="0025726D"/>
    <w:rsid w:val="00257C8B"/>
    <w:rsid w:val="00257F3C"/>
    <w:rsid w:val="002632F3"/>
    <w:rsid w:val="0026597E"/>
    <w:rsid w:val="00267987"/>
    <w:rsid w:val="00271FD9"/>
    <w:rsid w:val="00276190"/>
    <w:rsid w:val="0028154C"/>
    <w:rsid w:val="00282C3C"/>
    <w:rsid w:val="00292CB8"/>
    <w:rsid w:val="002A26A0"/>
    <w:rsid w:val="002A7F72"/>
    <w:rsid w:val="002B3B41"/>
    <w:rsid w:val="002C350B"/>
    <w:rsid w:val="002C7A14"/>
    <w:rsid w:val="002E0696"/>
    <w:rsid w:val="002E1033"/>
    <w:rsid w:val="002E1CC2"/>
    <w:rsid w:val="00304ADA"/>
    <w:rsid w:val="003115CE"/>
    <w:rsid w:val="00311C39"/>
    <w:rsid w:val="0031433F"/>
    <w:rsid w:val="00326F37"/>
    <w:rsid w:val="00335164"/>
    <w:rsid w:val="00336662"/>
    <w:rsid w:val="00346408"/>
    <w:rsid w:val="0034643A"/>
    <w:rsid w:val="00361702"/>
    <w:rsid w:val="003679FF"/>
    <w:rsid w:val="00373057"/>
    <w:rsid w:val="0039004F"/>
    <w:rsid w:val="0039226E"/>
    <w:rsid w:val="003A031F"/>
    <w:rsid w:val="003A4F5E"/>
    <w:rsid w:val="003A507A"/>
    <w:rsid w:val="003B125F"/>
    <w:rsid w:val="003C76CA"/>
    <w:rsid w:val="003D3793"/>
    <w:rsid w:val="003E3CED"/>
    <w:rsid w:val="003E626B"/>
    <w:rsid w:val="003E7D48"/>
    <w:rsid w:val="004044C0"/>
    <w:rsid w:val="00430A52"/>
    <w:rsid w:val="00437246"/>
    <w:rsid w:val="0044072E"/>
    <w:rsid w:val="004631B6"/>
    <w:rsid w:val="004806BA"/>
    <w:rsid w:val="00481E4B"/>
    <w:rsid w:val="0049006A"/>
    <w:rsid w:val="00494674"/>
    <w:rsid w:val="00496DAE"/>
    <w:rsid w:val="004A1DC2"/>
    <w:rsid w:val="004B094F"/>
    <w:rsid w:val="004B2784"/>
    <w:rsid w:val="004B471F"/>
    <w:rsid w:val="004C0065"/>
    <w:rsid w:val="004D1AF3"/>
    <w:rsid w:val="004D5CCC"/>
    <w:rsid w:val="004D65C5"/>
    <w:rsid w:val="004E2601"/>
    <w:rsid w:val="004F103A"/>
    <w:rsid w:val="004F6615"/>
    <w:rsid w:val="00503A87"/>
    <w:rsid w:val="00507A28"/>
    <w:rsid w:val="00516D79"/>
    <w:rsid w:val="0051796F"/>
    <w:rsid w:val="0052091B"/>
    <w:rsid w:val="00520A33"/>
    <w:rsid w:val="0052140E"/>
    <w:rsid w:val="00523F1E"/>
    <w:rsid w:val="00545C0B"/>
    <w:rsid w:val="00546B3D"/>
    <w:rsid w:val="00550851"/>
    <w:rsid w:val="0055133F"/>
    <w:rsid w:val="005573A9"/>
    <w:rsid w:val="005669E7"/>
    <w:rsid w:val="005707D6"/>
    <w:rsid w:val="005709D1"/>
    <w:rsid w:val="005728AB"/>
    <w:rsid w:val="00573708"/>
    <w:rsid w:val="00573750"/>
    <w:rsid w:val="005847D5"/>
    <w:rsid w:val="00596DD3"/>
    <w:rsid w:val="00597C62"/>
    <w:rsid w:val="005A108D"/>
    <w:rsid w:val="005A6DD2"/>
    <w:rsid w:val="005C129F"/>
    <w:rsid w:val="005C4A08"/>
    <w:rsid w:val="005C7120"/>
    <w:rsid w:val="005D2A3B"/>
    <w:rsid w:val="005D3F76"/>
    <w:rsid w:val="005D6462"/>
    <w:rsid w:val="005F1F72"/>
    <w:rsid w:val="005F5CDF"/>
    <w:rsid w:val="005F5D4F"/>
    <w:rsid w:val="006154AD"/>
    <w:rsid w:val="00636A46"/>
    <w:rsid w:val="00637D9B"/>
    <w:rsid w:val="00642D0F"/>
    <w:rsid w:val="00664E82"/>
    <w:rsid w:val="00665E76"/>
    <w:rsid w:val="006772E2"/>
    <w:rsid w:val="00685124"/>
    <w:rsid w:val="00686A98"/>
    <w:rsid w:val="00692837"/>
    <w:rsid w:val="00693495"/>
    <w:rsid w:val="00697665"/>
    <w:rsid w:val="006A6CCF"/>
    <w:rsid w:val="006A71AD"/>
    <w:rsid w:val="006B0C6E"/>
    <w:rsid w:val="006B2C14"/>
    <w:rsid w:val="006C5673"/>
    <w:rsid w:val="006C6110"/>
    <w:rsid w:val="006C6C54"/>
    <w:rsid w:val="006D2B23"/>
    <w:rsid w:val="006D4FA3"/>
    <w:rsid w:val="006E264C"/>
    <w:rsid w:val="006E2A33"/>
    <w:rsid w:val="006E3918"/>
    <w:rsid w:val="006E62A7"/>
    <w:rsid w:val="006E74AF"/>
    <w:rsid w:val="006F0F2D"/>
    <w:rsid w:val="006F1AB4"/>
    <w:rsid w:val="006F1DB2"/>
    <w:rsid w:val="006F77DB"/>
    <w:rsid w:val="00710DAE"/>
    <w:rsid w:val="00711EDF"/>
    <w:rsid w:val="00715357"/>
    <w:rsid w:val="00721A1A"/>
    <w:rsid w:val="00725440"/>
    <w:rsid w:val="007256CA"/>
    <w:rsid w:val="007257F3"/>
    <w:rsid w:val="007353F5"/>
    <w:rsid w:val="00741756"/>
    <w:rsid w:val="00750783"/>
    <w:rsid w:val="007524B6"/>
    <w:rsid w:val="00754099"/>
    <w:rsid w:val="007547B1"/>
    <w:rsid w:val="0076423D"/>
    <w:rsid w:val="00776C00"/>
    <w:rsid w:val="00782635"/>
    <w:rsid w:val="00792581"/>
    <w:rsid w:val="00794191"/>
    <w:rsid w:val="007A0C69"/>
    <w:rsid w:val="007A3CBC"/>
    <w:rsid w:val="007B29D6"/>
    <w:rsid w:val="007B4AE8"/>
    <w:rsid w:val="007C2C4D"/>
    <w:rsid w:val="007C6687"/>
    <w:rsid w:val="007D0C40"/>
    <w:rsid w:val="007D2CC6"/>
    <w:rsid w:val="007D67E5"/>
    <w:rsid w:val="007D6973"/>
    <w:rsid w:val="007E4BCB"/>
    <w:rsid w:val="007E623D"/>
    <w:rsid w:val="007F6A25"/>
    <w:rsid w:val="00806BF0"/>
    <w:rsid w:val="00806D7F"/>
    <w:rsid w:val="00806F82"/>
    <w:rsid w:val="00810FBC"/>
    <w:rsid w:val="00817AE0"/>
    <w:rsid w:val="008230A9"/>
    <w:rsid w:val="00841949"/>
    <w:rsid w:val="00845DA6"/>
    <w:rsid w:val="00846096"/>
    <w:rsid w:val="0084763B"/>
    <w:rsid w:val="008510BF"/>
    <w:rsid w:val="0085784C"/>
    <w:rsid w:val="00862A81"/>
    <w:rsid w:val="00862B0C"/>
    <w:rsid w:val="00863281"/>
    <w:rsid w:val="00866DC0"/>
    <w:rsid w:val="00872B61"/>
    <w:rsid w:val="008737CB"/>
    <w:rsid w:val="00880167"/>
    <w:rsid w:val="00881BA3"/>
    <w:rsid w:val="00885140"/>
    <w:rsid w:val="00890AB8"/>
    <w:rsid w:val="008A121C"/>
    <w:rsid w:val="008A50BB"/>
    <w:rsid w:val="008A7637"/>
    <w:rsid w:val="008B0C8A"/>
    <w:rsid w:val="008B18F5"/>
    <w:rsid w:val="008B37A7"/>
    <w:rsid w:val="008B3E2C"/>
    <w:rsid w:val="008C29A1"/>
    <w:rsid w:val="008D05E4"/>
    <w:rsid w:val="008D23A9"/>
    <w:rsid w:val="008D636F"/>
    <w:rsid w:val="008D7848"/>
    <w:rsid w:val="008E2F27"/>
    <w:rsid w:val="008F43E0"/>
    <w:rsid w:val="00902E7B"/>
    <w:rsid w:val="00924EF8"/>
    <w:rsid w:val="00926F53"/>
    <w:rsid w:val="009337C4"/>
    <w:rsid w:val="00941AEB"/>
    <w:rsid w:val="009462A4"/>
    <w:rsid w:val="00946380"/>
    <w:rsid w:val="00950BC4"/>
    <w:rsid w:val="00950F7E"/>
    <w:rsid w:val="0096576D"/>
    <w:rsid w:val="00972A91"/>
    <w:rsid w:val="00981F1C"/>
    <w:rsid w:val="009835C3"/>
    <w:rsid w:val="00983A56"/>
    <w:rsid w:val="00985CC2"/>
    <w:rsid w:val="0098613E"/>
    <w:rsid w:val="00991D9B"/>
    <w:rsid w:val="00992BCC"/>
    <w:rsid w:val="00995883"/>
    <w:rsid w:val="00996BF6"/>
    <w:rsid w:val="009A3988"/>
    <w:rsid w:val="009B24B7"/>
    <w:rsid w:val="009B2C1A"/>
    <w:rsid w:val="009B4D76"/>
    <w:rsid w:val="009B55AB"/>
    <w:rsid w:val="009B5A1F"/>
    <w:rsid w:val="009D2EC3"/>
    <w:rsid w:val="009D41EA"/>
    <w:rsid w:val="009D7C32"/>
    <w:rsid w:val="009E0464"/>
    <w:rsid w:val="009E63CE"/>
    <w:rsid w:val="009F43DA"/>
    <w:rsid w:val="009F521F"/>
    <w:rsid w:val="00A01C06"/>
    <w:rsid w:val="00A153E7"/>
    <w:rsid w:val="00A216AE"/>
    <w:rsid w:val="00A2284C"/>
    <w:rsid w:val="00A301C4"/>
    <w:rsid w:val="00A357EB"/>
    <w:rsid w:val="00A4603B"/>
    <w:rsid w:val="00A47E01"/>
    <w:rsid w:val="00A51143"/>
    <w:rsid w:val="00A574D9"/>
    <w:rsid w:val="00A65F0C"/>
    <w:rsid w:val="00A660FA"/>
    <w:rsid w:val="00A6658B"/>
    <w:rsid w:val="00A676F3"/>
    <w:rsid w:val="00A7016A"/>
    <w:rsid w:val="00A76CBC"/>
    <w:rsid w:val="00A825B8"/>
    <w:rsid w:val="00A86AD3"/>
    <w:rsid w:val="00A871E1"/>
    <w:rsid w:val="00A91FA0"/>
    <w:rsid w:val="00A93780"/>
    <w:rsid w:val="00A9617C"/>
    <w:rsid w:val="00AA038D"/>
    <w:rsid w:val="00AA0717"/>
    <w:rsid w:val="00AA3A92"/>
    <w:rsid w:val="00AA7806"/>
    <w:rsid w:val="00AC5C3F"/>
    <w:rsid w:val="00AE15BE"/>
    <w:rsid w:val="00AE628D"/>
    <w:rsid w:val="00AF0BE3"/>
    <w:rsid w:val="00AF334F"/>
    <w:rsid w:val="00AF3D3F"/>
    <w:rsid w:val="00AF5178"/>
    <w:rsid w:val="00AF6CA2"/>
    <w:rsid w:val="00B009CB"/>
    <w:rsid w:val="00B019D7"/>
    <w:rsid w:val="00B020DA"/>
    <w:rsid w:val="00B06BE3"/>
    <w:rsid w:val="00B07837"/>
    <w:rsid w:val="00B07864"/>
    <w:rsid w:val="00B16E12"/>
    <w:rsid w:val="00B27718"/>
    <w:rsid w:val="00B27898"/>
    <w:rsid w:val="00B34E93"/>
    <w:rsid w:val="00B40AAF"/>
    <w:rsid w:val="00B41A36"/>
    <w:rsid w:val="00B41E82"/>
    <w:rsid w:val="00B41E9D"/>
    <w:rsid w:val="00B421C4"/>
    <w:rsid w:val="00B450B6"/>
    <w:rsid w:val="00B45492"/>
    <w:rsid w:val="00B47E38"/>
    <w:rsid w:val="00B561EA"/>
    <w:rsid w:val="00B67176"/>
    <w:rsid w:val="00B77EB2"/>
    <w:rsid w:val="00B8316B"/>
    <w:rsid w:val="00B9260C"/>
    <w:rsid w:val="00BC3D30"/>
    <w:rsid w:val="00BC3DE5"/>
    <w:rsid w:val="00BD1157"/>
    <w:rsid w:val="00BD1B2F"/>
    <w:rsid w:val="00BD336E"/>
    <w:rsid w:val="00BF0B13"/>
    <w:rsid w:val="00BF7680"/>
    <w:rsid w:val="00C25B66"/>
    <w:rsid w:val="00C26630"/>
    <w:rsid w:val="00C274F9"/>
    <w:rsid w:val="00C33748"/>
    <w:rsid w:val="00C34789"/>
    <w:rsid w:val="00C40BEF"/>
    <w:rsid w:val="00C435D8"/>
    <w:rsid w:val="00C47135"/>
    <w:rsid w:val="00C50AB2"/>
    <w:rsid w:val="00C51415"/>
    <w:rsid w:val="00C6395E"/>
    <w:rsid w:val="00C64210"/>
    <w:rsid w:val="00C65DBF"/>
    <w:rsid w:val="00C71979"/>
    <w:rsid w:val="00C71FE0"/>
    <w:rsid w:val="00C76898"/>
    <w:rsid w:val="00C9031C"/>
    <w:rsid w:val="00C90329"/>
    <w:rsid w:val="00C93D1B"/>
    <w:rsid w:val="00CB7E23"/>
    <w:rsid w:val="00CC04B9"/>
    <w:rsid w:val="00CC0F8E"/>
    <w:rsid w:val="00CC3E43"/>
    <w:rsid w:val="00CC7852"/>
    <w:rsid w:val="00CE6108"/>
    <w:rsid w:val="00CF403E"/>
    <w:rsid w:val="00CF518C"/>
    <w:rsid w:val="00D11175"/>
    <w:rsid w:val="00D14EE8"/>
    <w:rsid w:val="00D16757"/>
    <w:rsid w:val="00D22835"/>
    <w:rsid w:val="00D2383F"/>
    <w:rsid w:val="00D31C72"/>
    <w:rsid w:val="00D44482"/>
    <w:rsid w:val="00D45C0C"/>
    <w:rsid w:val="00D507AD"/>
    <w:rsid w:val="00D558FF"/>
    <w:rsid w:val="00D60F90"/>
    <w:rsid w:val="00D62E1F"/>
    <w:rsid w:val="00D7359B"/>
    <w:rsid w:val="00D74376"/>
    <w:rsid w:val="00D81A68"/>
    <w:rsid w:val="00D81E3F"/>
    <w:rsid w:val="00D842FB"/>
    <w:rsid w:val="00D849A0"/>
    <w:rsid w:val="00D86E3F"/>
    <w:rsid w:val="00D92576"/>
    <w:rsid w:val="00D927E9"/>
    <w:rsid w:val="00D97A20"/>
    <w:rsid w:val="00DA01BA"/>
    <w:rsid w:val="00DA027F"/>
    <w:rsid w:val="00DA27D1"/>
    <w:rsid w:val="00DB6F45"/>
    <w:rsid w:val="00DB79E1"/>
    <w:rsid w:val="00DC2AEA"/>
    <w:rsid w:val="00DC4DDC"/>
    <w:rsid w:val="00DD0DF6"/>
    <w:rsid w:val="00DE130D"/>
    <w:rsid w:val="00DE56BB"/>
    <w:rsid w:val="00DE76CD"/>
    <w:rsid w:val="00DF5836"/>
    <w:rsid w:val="00E047EC"/>
    <w:rsid w:val="00E0535D"/>
    <w:rsid w:val="00E0744F"/>
    <w:rsid w:val="00E14136"/>
    <w:rsid w:val="00E171A7"/>
    <w:rsid w:val="00E210CB"/>
    <w:rsid w:val="00E3407B"/>
    <w:rsid w:val="00E566A0"/>
    <w:rsid w:val="00E568FD"/>
    <w:rsid w:val="00E672FE"/>
    <w:rsid w:val="00E76125"/>
    <w:rsid w:val="00E85B48"/>
    <w:rsid w:val="00E876F9"/>
    <w:rsid w:val="00E87AB7"/>
    <w:rsid w:val="00EB6207"/>
    <w:rsid w:val="00EC297C"/>
    <w:rsid w:val="00EC4D66"/>
    <w:rsid w:val="00EF1B02"/>
    <w:rsid w:val="00EF1E9F"/>
    <w:rsid w:val="00EF38D7"/>
    <w:rsid w:val="00EF41F8"/>
    <w:rsid w:val="00EF7044"/>
    <w:rsid w:val="00EF7C1C"/>
    <w:rsid w:val="00F01AEE"/>
    <w:rsid w:val="00F0511D"/>
    <w:rsid w:val="00F05CE5"/>
    <w:rsid w:val="00F15303"/>
    <w:rsid w:val="00F23E15"/>
    <w:rsid w:val="00F25496"/>
    <w:rsid w:val="00F273C2"/>
    <w:rsid w:val="00F27EBD"/>
    <w:rsid w:val="00F3375E"/>
    <w:rsid w:val="00F3578A"/>
    <w:rsid w:val="00F37E41"/>
    <w:rsid w:val="00F418AB"/>
    <w:rsid w:val="00F420D0"/>
    <w:rsid w:val="00F4282F"/>
    <w:rsid w:val="00F46447"/>
    <w:rsid w:val="00F5110D"/>
    <w:rsid w:val="00F51AF3"/>
    <w:rsid w:val="00F74FF5"/>
    <w:rsid w:val="00F77915"/>
    <w:rsid w:val="00F86DE3"/>
    <w:rsid w:val="00FA6246"/>
    <w:rsid w:val="00FC4655"/>
    <w:rsid w:val="00FC62B6"/>
    <w:rsid w:val="00FD1123"/>
    <w:rsid w:val="00FE788D"/>
    <w:rsid w:val="00FE7BDC"/>
    <w:rsid w:val="00FF03AD"/>
    <w:rsid w:val="00FF061A"/>
    <w:rsid w:val="00FF0B86"/>
    <w:rsid w:val="00FF58F4"/>
    <w:rsid w:val="00FF75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5784C"/>
  </w:style>
  <w:style w:type="paragraph" w:styleId="berschrift4">
    <w:name w:val="heading 4"/>
    <w:basedOn w:val="Standard"/>
    <w:next w:val="Standard"/>
    <w:link w:val="berschrift4Zchn"/>
    <w:qFormat/>
    <w:rsid w:val="0085784C"/>
    <w:pPr>
      <w:keepNext/>
      <w:jc w:val="center"/>
      <w:outlineLvl w:val="3"/>
    </w:pPr>
    <w:rPr>
      <w:rFonts w:ascii="Arial" w:hAnsi="Arial"/>
      <w:color w:val="808080"/>
      <w:sz w:val="1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84C"/>
    <w:pPr>
      <w:tabs>
        <w:tab w:val="center" w:pos="4536"/>
        <w:tab w:val="right" w:pos="9072"/>
      </w:tabs>
    </w:pPr>
  </w:style>
  <w:style w:type="paragraph" w:styleId="Fuzeile">
    <w:name w:val="footer"/>
    <w:basedOn w:val="Standard"/>
    <w:link w:val="FuzeileZchn"/>
    <w:uiPriority w:val="99"/>
    <w:rsid w:val="0085784C"/>
    <w:pPr>
      <w:tabs>
        <w:tab w:val="center" w:pos="4536"/>
        <w:tab w:val="right" w:pos="9072"/>
      </w:tabs>
    </w:pPr>
  </w:style>
  <w:style w:type="paragraph" w:styleId="Textkrper">
    <w:name w:val="Body Text"/>
    <w:basedOn w:val="Standard"/>
    <w:rsid w:val="0085784C"/>
    <w:pPr>
      <w:spacing w:line="360" w:lineRule="auto"/>
    </w:pPr>
    <w:rPr>
      <w:rFonts w:ascii="Arial" w:hAnsi="Arial"/>
      <w:b/>
      <w:sz w:val="28"/>
    </w:rPr>
  </w:style>
  <w:style w:type="paragraph" w:styleId="Titel">
    <w:name w:val="Title"/>
    <w:basedOn w:val="Standard"/>
    <w:qFormat/>
    <w:rsid w:val="0085784C"/>
    <w:pPr>
      <w:jc w:val="center"/>
    </w:pPr>
    <w:rPr>
      <w:rFonts w:ascii="Arial" w:hAnsi="Arial"/>
      <w:b/>
      <w:sz w:val="44"/>
    </w:rPr>
  </w:style>
  <w:style w:type="paragraph" w:styleId="Sprechblasentext">
    <w:name w:val="Balloon Text"/>
    <w:basedOn w:val="Standard"/>
    <w:link w:val="SprechblasentextZchn"/>
    <w:rsid w:val="00AC5C3F"/>
    <w:rPr>
      <w:rFonts w:ascii="Tahoma" w:hAnsi="Tahoma" w:cs="Tahoma"/>
      <w:sz w:val="16"/>
      <w:szCs w:val="16"/>
    </w:rPr>
  </w:style>
  <w:style w:type="character" w:customStyle="1" w:styleId="SprechblasentextZchn">
    <w:name w:val="Sprechblasentext Zchn"/>
    <w:basedOn w:val="Absatz-Standardschriftart"/>
    <w:link w:val="Sprechblasentext"/>
    <w:rsid w:val="00AC5C3F"/>
    <w:rPr>
      <w:rFonts w:ascii="Tahoma" w:hAnsi="Tahoma" w:cs="Tahoma"/>
      <w:sz w:val="16"/>
      <w:szCs w:val="16"/>
    </w:rPr>
  </w:style>
  <w:style w:type="paragraph" w:styleId="Listenabsatz">
    <w:name w:val="List Paragraph"/>
    <w:basedOn w:val="Standard"/>
    <w:uiPriority w:val="34"/>
    <w:qFormat/>
    <w:rsid w:val="00AC5C3F"/>
    <w:pPr>
      <w:ind w:left="720"/>
      <w:contextualSpacing/>
    </w:pPr>
  </w:style>
  <w:style w:type="table" w:styleId="Tabellengitternetz">
    <w:name w:val="Table Grid"/>
    <w:basedOn w:val="NormaleTabelle"/>
    <w:rsid w:val="004D65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4Zchn">
    <w:name w:val="Überschrift 4 Zchn"/>
    <w:basedOn w:val="Absatz-Standardschriftart"/>
    <w:link w:val="berschrift4"/>
    <w:rsid w:val="009D41EA"/>
    <w:rPr>
      <w:rFonts w:ascii="Arial" w:hAnsi="Arial"/>
      <w:color w:val="808080"/>
      <w:sz w:val="144"/>
    </w:rPr>
  </w:style>
  <w:style w:type="character" w:customStyle="1" w:styleId="FuzeileZchn">
    <w:name w:val="Fußzeile Zchn"/>
    <w:basedOn w:val="Absatz-Standardschriftart"/>
    <w:link w:val="Fuzeile"/>
    <w:uiPriority w:val="99"/>
    <w:rsid w:val="00E047EC"/>
  </w:style>
</w:styles>
</file>

<file path=word/webSettings.xml><?xml version="1.0" encoding="utf-8"?>
<w:webSettings xmlns:r="http://schemas.openxmlformats.org/officeDocument/2006/relationships" xmlns:w="http://schemas.openxmlformats.org/wordprocessingml/2006/main">
  <w:divs>
    <w:div w:id="45761606">
      <w:bodyDiv w:val="1"/>
      <w:marLeft w:val="0"/>
      <w:marRight w:val="0"/>
      <w:marTop w:val="0"/>
      <w:marBottom w:val="0"/>
      <w:divBdr>
        <w:top w:val="none" w:sz="0" w:space="0" w:color="auto"/>
        <w:left w:val="none" w:sz="0" w:space="0" w:color="auto"/>
        <w:bottom w:val="none" w:sz="0" w:space="0" w:color="auto"/>
        <w:right w:val="none" w:sz="0" w:space="0" w:color="auto"/>
      </w:divBdr>
      <w:divsChild>
        <w:div w:id="1612321973">
          <w:marLeft w:val="150"/>
          <w:marRight w:val="150"/>
          <w:marTop w:val="150"/>
          <w:marBottom w:val="150"/>
          <w:divBdr>
            <w:top w:val="none" w:sz="0" w:space="0" w:color="auto"/>
            <w:left w:val="none" w:sz="0" w:space="0" w:color="auto"/>
            <w:bottom w:val="none" w:sz="0" w:space="0" w:color="auto"/>
            <w:right w:val="none" w:sz="0" w:space="0" w:color="auto"/>
          </w:divBdr>
          <w:divsChild>
            <w:div w:id="2034306228">
              <w:marLeft w:val="0"/>
              <w:marRight w:val="0"/>
              <w:marTop w:val="0"/>
              <w:marBottom w:val="0"/>
              <w:divBdr>
                <w:top w:val="single" w:sz="6" w:space="0" w:color="F7F7F7"/>
                <w:left w:val="single" w:sz="6" w:space="0" w:color="F7F7F7"/>
                <w:bottom w:val="single" w:sz="6" w:space="0" w:color="F7F7F7"/>
                <w:right w:val="single" w:sz="6" w:space="0" w:color="F7F7F7"/>
              </w:divBdr>
              <w:divsChild>
                <w:div w:id="1656105706">
                  <w:marLeft w:val="0"/>
                  <w:marRight w:val="0"/>
                  <w:marTop w:val="0"/>
                  <w:marBottom w:val="0"/>
                  <w:divBdr>
                    <w:top w:val="single" w:sz="24" w:space="0" w:color="F7F7F7"/>
                    <w:left w:val="none" w:sz="0" w:space="0" w:color="auto"/>
                    <w:bottom w:val="none" w:sz="0" w:space="0" w:color="auto"/>
                    <w:right w:val="none" w:sz="0" w:space="0" w:color="auto"/>
                  </w:divBdr>
                  <w:divsChild>
                    <w:div w:id="1305937239">
                      <w:marLeft w:val="0"/>
                      <w:marRight w:val="0"/>
                      <w:marTop w:val="0"/>
                      <w:marBottom w:val="0"/>
                      <w:divBdr>
                        <w:top w:val="none" w:sz="0" w:space="0" w:color="auto"/>
                        <w:left w:val="none" w:sz="0" w:space="0" w:color="auto"/>
                        <w:bottom w:val="none" w:sz="0" w:space="0" w:color="auto"/>
                        <w:right w:val="none" w:sz="0" w:space="0" w:color="auto"/>
                      </w:divBdr>
                      <w:divsChild>
                        <w:div w:id="2111773937">
                          <w:marLeft w:val="0"/>
                          <w:marRight w:val="0"/>
                          <w:marTop w:val="0"/>
                          <w:marBottom w:val="0"/>
                          <w:divBdr>
                            <w:top w:val="none" w:sz="0" w:space="0" w:color="auto"/>
                            <w:left w:val="none" w:sz="0" w:space="0" w:color="auto"/>
                            <w:bottom w:val="none" w:sz="0" w:space="0" w:color="auto"/>
                            <w:right w:val="none" w:sz="0" w:space="0" w:color="auto"/>
                          </w:divBdr>
                        </w:div>
                        <w:div w:id="1351956161">
                          <w:marLeft w:val="0"/>
                          <w:marRight w:val="0"/>
                          <w:marTop w:val="0"/>
                          <w:marBottom w:val="0"/>
                          <w:divBdr>
                            <w:top w:val="none" w:sz="0" w:space="0" w:color="auto"/>
                            <w:left w:val="none" w:sz="0" w:space="0" w:color="auto"/>
                            <w:bottom w:val="none" w:sz="0" w:space="0" w:color="auto"/>
                            <w:right w:val="none" w:sz="0" w:space="0" w:color="auto"/>
                          </w:divBdr>
                        </w:div>
                        <w:div w:id="5132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169936">
      <w:bodyDiv w:val="1"/>
      <w:marLeft w:val="0"/>
      <w:marRight w:val="0"/>
      <w:marTop w:val="0"/>
      <w:marBottom w:val="0"/>
      <w:divBdr>
        <w:top w:val="none" w:sz="0" w:space="0" w:color="auto"/>
        <w:left w:val="none" w:sz="0" w:space="0" w:color="auto"/>
        <w:bottom w:val="none" w:sz="0" w:space="0" w:color="auto"/>
        <w:right w:val="none" w:sz="0" w:space="0" w:color="auto"/>
      </w:divBdr>
      <w:divsChild>
        <w:div w:id="211498788">
          <w:marLeft w:val="150"/>
          <w:marRight w:val="150"/>
          <w:marTop w:val="150"/>
          <w:marBottom w:val="150"/>
          <w:divBdr>
            <w:top w:val="none" w:sz="0" w:space="0" w:color="auto"/>
            <w:left w:val="none" w:sz="0" w:space="0" w:color="auto"/>
            <w:bottom w:val="none" w:sz="0" w:space="0" w:color="auto"/>
            <w:right w:val="none" w:sz="0" w:space="0" w:color="auto"/>
          </w:divBdr>
          <w:divsChild>
            <w:div w:id="1698313347">
              <w:marLeft w:val="0"/>
              <w:marRight w:val="0"/>
              <w:marTop w:val="0"/>
              <w:marBottom w:val="0"/>
              <w:divBdr>
                <w:top w:val="single" w:sz="6" w:space="0" w:color="F7F7F7"/>
                <w:left w:val="single" w:sz="6" w:space="0" w:color="F7F7F7"/>
                <w:bottom w:val="single" w:sz="6" w:space="0" w:color="F7F7F7"/>
                <w:right w:val="single" w:sz="6" w:space="0" w:color="F7F7F7"/>
              </w:divBdr>
              <w:divsChild>
                <w:div w:id="1159885191">
                  <w:marLeft w:val="0"/>
                  <w:marRight w:val="0"/>
                  <w:marTop w:val="0"/>
                  <w:marBottom w:val="0"/>
                  <w:divBdr>
                    <w:top w:val="single" w:sz="24" w:space="0" w:color="F7F7F7"/>
                    <w:left w:val="none" w:sz="0" w:space="0" w:color="auto"/>
                    <w:bottom w:val="none" w:sz="0" w:space="0" w:color="auto"/>
                    <w:right w:val="none" w:sz="0" w:space="0" w:color="auto"/>
                  </w:divBdr>
                  <w:divsChild>
                    <w:div w:id="2092457946">
                      <w:marLeft w:val="0"/>
                      <w:marRight w:val="0"/>
                      <w:marTop w:val="0"/>
                      <w:marBottom w:val="0"/>
                      <w:divBdr>
                        <w:top w:val="none" w:sz="0" w:space="0" w:color="auto"/>
                        <w:left w:val="none" w:sz="0" w:space="0" w:color="auto"/>
                        <w:bottom w:val="none" w:sz="0" w:space="0" w:color="auto"/>
                        <w:right w:val="none" w:sz="0" w:space="0" w:color="auto"/>
                      </w:divBdr>
                      <w:divsChild>
                        <w:div w:id="1806701122">
                          <w:marLeft w:val="0"/>
                          <w:marRight w:val="0"/>
                          <w:marTop w:val="0"/>
                          <w:marBottom w:val="0"/>
                          <w:divBdr>
                            <w:top w:val="none" w:sz="0" w:space="0" w:color="auto"/>
                            <w:left w:val="none" w:sz="0" w:space="0" w:color="auto"/>
                            <w:bottom w:val="none" w:sz="0" w:space="0" w:color="auto"/>
                            <w:right w:val="none" w:sz="0" w:space="0" w:color="auto"/>
                          </w:divBdr>
                        </w:div>
                        <w:div w:id="58133778">
                          <w:marLeft w:val="0"/>
                          <w:marRight w:val="0"/>
                          <w:marTop w:val="0"/>
                          <w:marBottom w:val="0"/>
                          <w:divBdr>
                            <w:top w:val="none" w:sz="0" w:space="0" w:color="auto"/>
                            <w:left w:val="none" w:sz="0" w:space="0" w:color="auto"/>
                            <w:bottom w:val="none" w:sz="0" w:space="0" w:color="auto"/>
                            <w:right w:val="none" w:sz="0" w:space="0" w:color="auto"/>
                          </w:divBdr>
                        </w:div>
                        <w:div w:id="15943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1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88309-8AEC-40BE-BB88-1AC4379C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Abmahnung im Arbeitsrecht</vt:lpstr>
    </vt:vector>
  </TitlesOfParts>
  <Company>Handwerkskammer für Schwaben</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Abmahnung im Arbeitsrecht</dc:title>
  <dc:creator>Mayer</dc:creator>
  <cp:lastModifiedBy>Mayer</cp:lastModifiedBy>
  <cp:revision>2</cp:revision>
  <cp:lastPrinted>2009-12-16T12:01:00Z</cp:lastPrinted>
  <dcterms:created xsi:type="dcterms:W3CDTF">2011-09-14T12:46:00Z</dcterms:created>
  <dcterms:modified xsi:type="dcterms:W3CDTF">2011-09-14T12:46:00Z</dcterms:modified>
</cp:coreProperties>
</file>